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085" w:rsidRPr="00107085" w:rsidRDefault="00107085" w:rsidP="00107085">
      <w:pPr>
        <w:spacing w:line="240" w:lineRule="atLeast"/>
        <w:jc w:val="center"/>
        <w:rPr>
          <w:rFonts w:ascii="宋体" w:hAnsi="宋体" w:cs="Times New Roman"/>
          <w:sz w:val="32"/>
          <w:szCs w:val="32"/>
        </w:rPr>
      </w:pPr>
    </w:p>
    <w:p w:rsidR="00107085" w:rsidRPr="00107085" w:rsidRDefault="00107085" w:rsidP="00107085">
      <w:pPr>
        <w:spacing w:line="240" w:lineRule="atLeast"/>
        <w:jc w:val="center"/>
        <w:rPr>
          <w:rFonts w:ascii="宋体" w:hAnsi="宋体" w:cs="Times New Roman" w:hint="eastAsia"/>
          <w:sz w:val="32"/>
          <w:szCs w:val="32"/>
        </w:rPr>
      </w:pPr>
      <w:r w:rsidRPr="00107085">
        <w:rPr>
          <w:rFonts w:ascii="宋体" w:hAnsi="宋体" w:cs="Times New Roman" w:hint="eastAsia"/>
          <w:sz w:val="32"/>
          <w:szCs w:val="32"/>
        </w:rPr>
        <w:t xml:space="preserve"> </w:t>
      </w:r>
    </w:p>
    <w:p w:rsidR="00107085" w:rsidRPr="00107085" w:rsidRDefault="00107085" w:rsidP="00107085">
      <w:pPr>
        <w:spacing w:line="240" w:lineRule="atLeast"/>
        <w:jc w:val="center"/>
        <w:rPr>
          <w:rFonts w:ascii="宋体" w:hAnsi="宋体" w:cs="Times New Roman" w:hint="eastAsia"/>
          <w:sz w:val="32"/>
          <w:szCs w:val="32"/>
        </w:rPr>
      </w:pPr>
      <w:r w:rsidRPr="00107085">
        <w:rPr>
          <w:rFonts w:ascii="宋体" w:hAnsi="宋体" w:cs="Times New Roman" w:hint="eastAsia"/>
          <w:sz w:val="32"/>
          <w:szCs w:val="32"/>
        </w:rPr>
        <w:t xml:space="preserve"> </w:t>
      </w:r>
    </w:p>
    <w:p w:rsidR="00107085" w:rsidRPr="00107085" w:rsidRDefault="00107085" w:rsidP="00107085">
      <w:pPr>
        <w:spacing w:line="240" w:lineRule="atLeast"/>
        <w:jc w:val="center"/>
        <w:rPr>
          <w:rFonts w:ascii="宋体" w:hAnsi="宋体" w:cs="Times New Roman" w:hint="eastAsia"/>
          <w:sz w:val="32"/>
          <w:szCs w:val="32"/>
        </w:rPr>
      </w:pPr>
      <w:r w:rsidRPr="00107085">
        <w:rPr>
          <w:rFonts w:ascii="宋体" w:hAnsi="宋体" w:cs="Times New Roman" w:hint="eastAsia"/>
          <w:sz w:val="32"/>
          <w:szCs w:val="32"/>
        </w:rPr>
        <w:t xml:space="preserve"> </w:t>
      </w:r>
    </w:p>
    <w:p w:rsidR="00107085" w:rsidRPr="00107085" w:rsidRDefault="00107085" w:rsidP="00107085">
      <w:pPr>
        <w:spacing w:line="240" w:lineRule="atLeast"/>
        <w:rPr>
          <w:rFonts w:ascii="宋体" w:hAnsi="宋体" w:cs="Times New Roman" w:hint="eastAsia"/>
          <w:sz w:val="32"/>
          <w:szCs w:val="32"/>
        </w:rPr>
      </w:pPr>
      <w:r w:rsidRPr="00107085">
        <w:rPr>
          <w:rFonts w:ascii="宋体" w:hAnsi="宋体" w:cs="Times New Roman" w:hint="eastAsia"/>
          <w:sz w:val="32"/>
          <w:szCs w:val="32"/>
        </w:rPr>
        <w:t xml:space="preserve"> </w:t>
      </w:r>
    </w:p>
    <w:p w:rsidR="00107085" w:rsidRPr="00107085" w:rsidRDefault="00107085" w:rsidP="00107085">
      <w:pPr>
        <w:spacing w:line="240" w:lineRule="atLeast"/>
        <w:ind w:rightChars="11" w:right="23"/>
        <w:rPr>
          <w:rFonts w:ascii="宋体" w:hAnsi="宋体" w:cs="Times New Roman" w:hint="eastAsia"/>
          <w:sz w:val="32"/>
          <w:szCs w:val="32"/>
        </w:rPr>
      </w:pPr>
      <w:r w:rsidRPr="00107085">
        <w:rPr>
          <w:rFonts w:ascii="宋体" w:hAnsi="宋体" w:cs="Times New Roman" w:hint="eastAsia"/>
          <w:sz w:val="32"/>
          <w:szCs w:val="32"/>
        </w:rPr>
        <w:t xml:space="preserve"> </w:t>
      </w:r>
    </w:p>
    <w:p w:rsidR="00107085" w:rsidRPr="00107085" w:rsidRDefault="00107085" w:rsidP="00107085">
      <w:pPr>
        <w:spacing w:line="560" w:lineRule="exact"/>
        <w:jc w:val="center"/>
        <w:rPr>
          <w:rFonts w:ascii="仿宋_GB2312" w:eastAsia="仿宋_GB2312" w:hAnsi="Times New Roman" w:cs="Times New Roman" w:hint="eastAsia"/>
          <w:sz w:val="32"/>
          <w:szCs w:val="32"/>
        </w:rPr>
      </w:pPr>
      <w:r w:rsidRPr="00107085">
        <w:rPr>
          <w:rFonts w:ascii="仿宋_GB2312" w:eastAsia="仿宋_GB2312" w:hAnsi="仿宋" w:cs="Times New Roman" w:hint="eastAsia"/>
          <w:sz w:val="32"/>
          <w:szCs w:val="32"/>
        </w:rPr>
        <w:t>东区财字〔2017〕2</w:t>
      </w:r>
      <w:r w:rsidR="0084558D" w:rsidRPr="00A21844">
        <w:rPr>
          <w:rFonts w:ascii="仿宋_GB2312" w:eastAsia="仿宋_GB2312" w:hAnsi="仿宋" w:cs="Times New Roman" w:hint="eastAsia"/>
          <w:sz w:val="32"/>
          <w:szCs w:val="32"/>
        </w:rPr>
        <w:t>0</w:t>
      </w:r>
      <w:r w:rsidRPr="00107085">
        <w:rPr>
          <w:rFonts w:ascii="仿宋_GB2312" w:eastAsia="仿宋_GB2312" w:hAnsi="仿宋" w:cs="Times New Roman" w:hint="eastAsia"/>
          <w:sz w:val="32"/>
          <w:szCs w:val="32"/>
        </w:rPr>
        <w:t>6号</w:t>
      </w:r>
    </w:p>
    <w:p w:rsidR="00107085" w:rsidRDefault="00107085" w:rsidP="00107085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 w:rsidRPr="00107085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:rsidR="00107085" w:rsidRDefault="00107085" w:rsidP="00107085">
      <w:pPr>
        <w:spacing w:line="56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 w:rsidRPr="00107085">
        <w:rPr>
          <w:rFonts w:ascii="方正小标宋简体" w:eastAsia="方正小标宋简体" w:hAnsi="Times New Roman" w:cs="Times New Roman" w:hint="eastAsia"/>
          <w:sz w:val="44"/>
          <w:szCs w:val="44"/>
        </w:rPr>
        <w:t>关于</w:t>
      </w:r>
      <w:r w:rsidRPr="00107085">
        <w:rPr>
          <w:rFonts w:ascii="方正小标宋简体" w:eastAsia="方正小标宋简体" w:hAnsi="Times New Roman" w:cs="Times New Roman"/>
          <w:bCs/>
          <w:sz w:val="44"/>
          <w:szCs w:val="44"/>
        </w:rPr>
        <w:t>2016年决算和2017</w:t>
      </w:r>
      <w:r>
        <w:rPr>
          <w:rFonts w:ascii="方正小标宋简体" w:eastAsia="方正小标宋简体" w:hAnsi="Times New Roman" w:cs="Times New Roman"/>
          <w:bCs/>
          <w:sz w:val="44"/>
          <w:szCs w:val="44"/>
        </w:rPr>
        <w:t>年预算</w:t>
      </w:r>
    </w:p>
    <w:p w:rsidR="00107085" w:rsidRPr="00107085" w:rsidRDefault="00107085" w:rsidP="00107085">
      <w:pPr>
        <w:spacing w:line="56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方正小标宋简体" w:eastAsia="方正小标宋简体" w:hAnsi="Times New Roman" w:cs="Times New Roman"/>
          <w:bCs/>
          <w:sz w:val="44"/>
          <w:szCs w:val="44"/>
        </w:rPr>
        <w:t>公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开</w:t>
      </w:r>
      <w:r w:rsidRPr="00107085">
        <w:rPr>
          <w:rFonts w:ascii="方正小标宋简体" w:eastAsia="方正小标宋简体" w:hAnsi="Times New Roman" w:cs="Times New Roman"/>
          <w:bCs/>
          <w:sz w:val="44"/>
          <w:szCs w:val="44"/>
        </w:rPr>
        <w:t>检查情况的结论</w:t>
      </w:r>
    </w:p>
    <w:p w:rsidR="00107085" w:rsidRDefault="00107085" w:rsidP="00107085">
      <w:pPr>
        <w:ind w:firstLineChars="200" w:firstLine="560"/>
        <w:rPr>
          <w:rFonts w:ascii="宋体" w:hAnsi="宋体" w:hint="eastAsia"/>
          <w:sz w:val="28"/>
          <w:szCs w:val="28"/>
        </w:rPr>
      </w:pPr>
    </w:p>
    <w:p w:rsidR="00107085" w:rsidRPr="0084558D" w:rsidRDefault="00107085" w:rsidP="00107085">
      <w:pPr>
        <w:rPr>
          <w:rFonts w:ascii="仿宋_GB2312" w:eastAsia="仿宋_GB2312" w:hAnsi="宋体" w:hint="eastAsia"/>
          <w:sz w:val="32"/>
          <w:szCs w:val="32"/>
        </w:rPr>
      </w:pPr>
      <w:r w:rsidRPr="0084558D">
        <w:rPr>
          <w:rFonts w:ascii="仿宋_GB2312" w:eastAsia="仿宋_GB2312" w:hAnsi="宋体" w:hint="eastAsia"/>
          <w:sz w:val="32"/>
          <w:szCs w:val="32"/>
        </w:rPr>
        <w:t>区属各单位：</w:t>
      </w:r>
    </w:p>
    <w:p w:rsidR="00107085" w:rsidRPr="0084558D" w:rsidRDefault="00107085" w:rsidP="00107085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4558D">
        <w:rPr>
          <w:rFonts w:ascii="仿宋_GB2312" w:eastAsia="仿宋_GB2312" w:hAnsi="宋体" w:hint="eastAsia"/>
          <w:sz w:val="32"/>
          <w:szCs w:val="32"/>
        </w:rPr>
        <w:t>根据《青海省财政厅关于开展2017年度地方预决算公开情况专项检查的通知》（青财监字【2017】1815号）文件精神，我区严格按照文件要求，结合本区实际编制了检查实施方案，于2017年11月2日至3日对区属预算单位76家，本级政府预决算进行了检查，现</w:t>
      </w:r>
      <w:r w:rsidRPr="0084558D">
        <w:rPr>
          <w:rFonts w:ascii="仿宋_GB2312" w:eastAsia="仿宋_GB2312" w:hAnsi="宋体" w:hint="eastAsia"/>
          <w:sz w:val="32"/>
          <w:szCs w:val="32"/>
        </w:rPr>
        <w:t>作</w:t>
      </w:r>
      <w:r w:rsidRPr="0084558D">
        <w:rPr>
          <w:rFonts w:ascii="仿宋_GB2312" w:eastAsia="仿宋_GB2312" w:hAnsi="宋体" w:hint="eastAsia"/>
          <w:sz w:val="32"/>
          <w:szCs w:val="32"/>
        </w:rPr>
        <w:t>如下</w:t>
      </w:r>
      <w:r w:rsidRPr="0084558D">
        <w:rPr>
          <w:rFonts w:ascii="仿宋_GB2312" w:eastAsia="仿宋_GB2312" w:hAnsi="宋体" w:hint="eastAsia"/>
          <w:sz w:val="32"/>
          <w:szCs w:val="32"/>
        </w:rPr>
        <w:t>结论</w:t>
      </w:r>
      <w:r w:rsidRPr="0084558D">
        <w:rPr>
          <w:rFonts w:ascii="仿宋_GB2312" w:eastAsia="仿宋_GB2312" w:hAnsi="宋体" w:hint="eastAsia"/>
          <w:sz w:val="32"/>
          <w:szCs w:val="32"/>
        </w:rPr>
        <w:t>：</w:t>
      </w:r>
    </w:p>
    <w:p w:rsidR="00107085" w:rsidRPr="0084558D" w:rsidRDefault="00107085" w:rsidP="00107085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4558D">
        <w:rPr>
          <w:rFonts w:ascii="仿宋_GB2312" w:eastAsia="仿宋_GB2312" w:hAnsi="宋体" w:hint="eastAsia"/>
          <w:sz w:val="32"/>
          <w:szCs w:val="32"/>
        </w:rPr>
        <w:t>一、单位数据维护情况</w:t>
      </w:r>
    </w:p>
    <w:p w:rsidR="00107085" w:rsidRPr="0084558D" w:rsidRDefault="00107085" w:rsidP="00107085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4558D">
        <w:rPr>
          <w:rFonts w:ascii="仿宋_GB2312" w:eastAsia="仿宋_GB2312" w:hAnsi="宋体" w:hint="eastAsia"/>
          <w:sz w:val="32"/>
          <w:szCs w:val="32"/>
        </w:rPr>
        <w:t>2016年度预决算维护单位为40家，其中：政府1家，部门39家，2017年度预决算维护单位为77家，其中：政府1家，部门76家，比2016年度增加了37家，增加的主要原因是新增了18家学校和教研室，1个镇政府和12个社区，</w:t>
      </w:r>
      <w:r w:rsidRPr="0084558D">
        <w:rPr>
          <w:rFonts w:ascii="仿宋_GB2312" w:eastAsia="仿宋_GB2312" w:hAnsi="宋体" w:hint="eastAsia"/>
          <w:sz w:val="32"/>
          <w:szCs w:val="32"/>
        </w:rPr>
        <w:lastRenderedPageBreak/>
        <w:t>7家医疗卫生机构，实际增加了39家部门，删除了检察院和法院2家单位。</w:t>
      </w:r>
    </w:p>
    <w:p w:rsidR="00107085" w:rsidRPr="0084558D" w:rsidRDefault="00107085" w:rsidP="00107085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4558D">
        <w:rPr>
          <w:rFonts w:ascii="仿宋_GB2312" w:eastAsia="仿宋_GB2312" w:hAnsi="宋体" w:hint="eastAsia"/>
          <w:sz w:val="32"/>
          <w:szCs w:val="32"/>
        </w:rPr>
        <w:t>二、检查情况</w:t>
      </w:r>
    </w:p>
    <w:p w:rsidR="00107085" w:rsidRPr="0084558D" w:rsidRDefault="00107085" w:rsidP="00107085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4558D">
        <w:rPr>
          <w:rFonts w:ascii="仿宋_GB2312" w:eastAsia="仿宋_GB2312" w:hAnsi="宋体" w:hint="eastAsia"/>
          <w:sz w:val="32"/>
          <w:szCs w:val="32"/>
        </w:rPr>
        <w:t>1、及时性。政府预决算是在本级人民代表大会或其常务委员会批准后20日内向社会公开，部门预决算是在本级人民政府财政部门批复后20日内向社会公开。</w:t>
      </w:r>
    </w:p>
    <w:p w:rsidR="00107085" w:rsidRPr="0084558D" w:rsidRDefault="00107085" w:rsidP="00107085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4558D">
        <w:rPr>
          <w:rFonts w:ascii="仿宋_GB2312" w:eastAsia="仿宋_GB2312" w:hAnsi="宋体" w:hint="eastAsia"/>
          <w:sz w:val="32"/>
          <w:szCs w:val="32"/>
        </w:rPr>
        <w:t>2、完整性。政府预决算在本级人大批准后将政府预决算报告、报表以及相关说明全部公开，政府预决算公开内容包括一般公共预决算、政府性基金预决算、国有资本经营预决算和社会保险基金预决算。本级财政部门批复的部门预决算报表及相关说明，所有单位按照规定全部向社会公开。</w:t>
      </w:r>
    </w:p>
    <w:p w:rsidR="00107085" w:rsidRPr="0084558D" w:rsidRDefault="00107085" w:rsidP="00107085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4558D">
        <w:rPr>
          <w:rFonts w:ascii="仿宋_GB2312" w:eastAsia="仿宋_GB2312" w:hAnsi="宋体" w:hint="eastAsia"/>
          <w:sz w:val="32"/>
          <w:szCs w:val="32"/>
        </w:rPr>
        <w:t>3、细化程度。严格按照《财政部关于印发&lt;地方预决算公开操作规程&gt;的通知》（财预字[2016]143号）中有关预决算公开内容的规定执行。</w:t>
      </w:r>
    </w:p>
    <w:p w:rsidR="00107085" w:rsidRPr="0084558D" w:rsidRDefault="00107085" w:rsidP="00107085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4558D">
        <w:rPr>
          <w:rFonts w:ascii="仿宋_GB2312" w:eastAsia="仿宋_GB2312" w:hAnsi="宋体" w:hint="eastAsia"/>
          <w:sz w:val="32"/>
          <w:szCs w:val="32"/>
        </w:rPr>
        <w:t>4、公开方式。全部通过本级政府门户网站在预决算公开专栏中予以公开。</w:t>
      </w:r>
    </w:p>
    <w:p w:rsidR="00107085" w:rsidRPr="0084558D" w:rsidRDefault="00107085" w:rsidP="00107085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4558D">
        <w:rPr>
          <w:rFonts w:ascii="仿宋_GB2312" w:eastAsia="仿宋_GB2312" w:hAnsi="宋体" w:hint="eastAsia"/>
          <w:sz w:val="32"/>
          <w:szCs w:val="32"/>
        </w:rPr>
        <w:t>5、真实性。我们对2016年政府决算抽查了204款公共安全支出</w:t>
      </w:r>
      <w:r w:rsidRPr="0084558D">
        <w:rPr>
          <w:rFonts w:ascii="仿宋_GB2312" w:eastAsia="仿宋_GB2312" w:hAnsi="宋体" w:hint="eastAsia"/>
          <w:color w:val="000000"/>
          <w:sz w:val="32"/>
          <w:szCs w:val="32"/>
        </w:rPr>
        <w:t>2688</w:t>
      </w:r>
      <w:r w:rsidRPr="0084558D">
        <w:rPr>
          <w:rFonts w:ascii="仿宋_GB2312" w:eastAsia="仿宋_GB2312" w:hAnsi="宋体" w:hint="eastAsia"/>
          <w:sz w:val="32"/>
          <w:szCs w:val="32"/>
        </w:rPr>
        <w:t>万元，206款科学技术支出</w:t>
      </w:r>
      <w:r w:rsidRPr="0084558D">
        <w:rPr>
          <w:rFonts w:ascii="仿宋_GB2312" w:eastAsia="仿宋_GB2312" w:hAnsi="宋体" w:hint="eastAsia"/>
          <w:color w:val="000000"/>
          <w:sz w:val="32"/>
          <w:szCs w:val="32"/>
        </w:rPr>
        <w:t>561</w:t>
      </w:r>
      <w:r w:rsidRPr="0084558D">
        <w:rPr>
          <w:rFonts w:ascii="仿宋_GB2312" w:eastAsia="仿宋_GB2312" w:hAnsi="宋体" w:hint="eastAsia"/>
          <w:sz w:val="32"/>
          <w:szCs w:val="32"/>
        </w:rPr>
        <w:t>万元，213款农林水支出</w:t>
      </w:r>
      <w:r w:rsidRPr="0084558D">
        <w:rPr>
          <w:rFonts w:ascii="仿宋_GB2312" w:eastAsia="仿宋_GB2312" w:hAnsi="宋体" w:hint="eastAsia"/>
          <w:color w:val="000000"/>
          <w:sz w:val="32"/>
          <w:szCs w:val="32"/>
        </w:rPr>
        <w:t>4209</w:t>
      </w:r>
      <w:r w:rsidRPr="0084558D">
        <w:rPr>
          <w:rFonts w:ascii="仿宋_GB2312" w:eastAsia="仿宋_GB2312" w:hAnsi="宋体" w:hint="eastAsia"/>
          <w:sz w:val="32"/>
          <w:szCs w:val="32"/>
        </w:rPr>
        <w:t>万元，。对杨家庄小学2016年部门决算因公出国（境）费用0元，公务接待费9170元，公务用车运行维护费14250元，差旅费73655.50元,培训费75580元,维修（护）费203772元；审计局2016年部门决算因公出国（境）</w:t>
      </w:r>
      <w:r w:rsidRPr="0084558D">
        <w:rPr>
          <w:rFonts w:ascii="仿宋_GB2312" w:eastAsia="仿宋_GB2312" w:hAnsi="宋体" w:hint="eastAsia"/>
          <w:sz w:val="32"/>
          <w:szCs w:val="32"/>
        </w:rPr>
        <w:lastRenderedPageBreak/>
        <w:t>费用0元，公务接待费0元，公务用车运行维护费7470元，差旅费0元，培训费50000元，维修（护）费0元，公开的数据是真实的。</w:t>
      </w:r>
    </w:p>
    <w:p w:rsidR="00107085" w:rsidRPr="0084558D" w:rsidRDefault="00107085" w:rsidP="00107085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4558D">
        <w:rPr>
          <w:rFonts w:ascii="仿宋_GB2312" w:eastAsia="仿宋_GB2312" w:hAnsi="宋体" w:hint="eastAsia"/>
          <w:sz w:val="32"/>
          <w:szCs w:val="32"/>
        </w:rPr>
        <w:t>三、存在的问题及处理意见</w:t>
      </w:r>
    </w:p>
    <w:p w:rsidR="00107085" w:rsidRPr="00107085" w:rsidRDefault="00107085" w:rsidP="0084558D">
      <w:pPr>
        <w:rPr>
          <w:rFonts w:ascii="仿宋_GB2312" w:eastAsia="仿宋_GB2312" w:hAnsi="宋体" w:cs="Times New Roman" w:hint="eastAsia"/>
          <w:spacing w:val="-2"/>
          <w:sz w:val="32"/>
          <w:szCs w:val="32"/>
        </w:rPr>
      </w:pPr>
      <w:r w:rsidRPr="0084558D">
        <w:rPr>
          <w:rFonts w:ascii="仿宋_GB2312" w:eastAsia="仿宋_GB2312" w:hAnsi="宋体" w:hint="eastAsia"/>
          <w:sz w:val="32"/>
          <w:szCs w:val="32"/>
        </w:rPr>
        <w:t>经检查</w:t>
      </w:r>
      <w:r w:rsidRPr="00107085">
        <w:rPr>
          <w:rFonts w:ascii="仿宋_GB2312" w:eastAsia="仿宋_GB2312" w:hAnsi="宋体" w:hint="eastAsia"/>
          <w:sz w:val="32"/>
          <w:szCs w:val="32"/>
        </w:rPr>
        <w:t>城东区民政局、城东区科技文体旅游局和城东区人力资源和社会保障局公开内容</w:t>
      </w:r>
      <w:r w:rsidR="003B5717" w:rsidRPr="0084558D">
        <w:rPr>
          <w:rFonts w:ascii="仿宋_GB2312" w:eastAsia="仿宋_GB2312" w:hAnsi="宋体" w:hint="eastAsia"/>
          <w:sz w:val="32"/>
          <w:szCs w:val="32"/>
        </w:rPr>
        <w:t>将</w:t>
      </w:r>
      <w:r w:rsidR="003B5717" w:rsidRPr="0084558D">
        <w:rPr>
          <w:rFonts w:ascii="仿宋_GB2312" w:eastAsia="仿宋_GB2312" w:hAnsi="宋体" w:hint="eastAsia"/>
          <w:sz w:val="32"/>
          <w:szCs w:val="32"/>
        </w:rPr>
        <w:t>预算收支增减变化情况说明；机关运行经费安排情况说明；政府采购安排情况说明</w:t>
      </w:r>
      <w:r w:rsidRPr="00107085">
        <w:rPr>
          <w:rFonts w:ascii="仿宋_GB2312" w:eastAsia="仿宋_GB2312" w:hAnsi="宋体" w:hint="eastAsia"/>
          <w:sz w:val="32"/>
          <w:szCs w:val="32"/>
        </w:rPr>
        <w:t>有漏项。</w:t>
      </w:r>
      <w:r w:rsidR="0084558D">
        <w:rPr>
          <w:rFonts w:ascii="仿宋_GB2312" w:eastAsia="仿宋_GB2312" w:hAnsi="宋体" w:hint="eastAsia"/>
          <w:sz w:val="32"/>
          <w:szCs w:val="32"/>
        </w:rPr>
        <w:t>不符合</w:t>
      </w:r>
      <w:r w:rsidR="0084558D" w:rsidRPr="0084558D">
        <w:rPr>
          <w:rFonts w:ascii="仿宋_GB2312" w:eastAsia="仿宋_GB2312" w:hAnsi="宋体" w:cs="Times New Roman" w:hint="eastAsia"/>
          <w:spacing w:val="-2"/>
          <w:sz w:val="32"/>
          <w:szCs w:val="32"/>
        </w:rPr>
        <w:t>《财政部</w:t>
      </w:r>
      <w:r w:rsidR="0084558D" w:rsidRPr="0084558D">
        <w:rPr>
          <w:rFonts w:ascii="仿宋_GB2312" w:eastAsia="仿宋_GB2312" w:hAnsi="宋体" w:hint="eastAsia"/>
          <w:spacing w:val="-2"/>
          <w:kern w:val="0"/>
          <w:sz w:val="32"/>
          <w:szCs w:val="32"/>
        </w:rPr>
        <w:t>关于印发〈地方预决算公开操作规程〉的通知》（财预</w:t>
      </w:r>
      <w:r w:rsidR="0084558D" w:rsidRPr="0084558D">
        <w:rPr>
          <w:rFonts w:ascii="仿宋_GB2312" w:eastAsia="仿宋_GB2312" w:hAnsi="宋体" w:cs="Times New Roman" w:hint="eastAsia"/>
          <w:spacing w:val="-2"/>
          <w:sz w:val="32"/>
          <w:szCs w:val="32"/>
        </w:rPr>
        <w:t>〔2016〕</w:t>
      </w:r>
      <w:r w:rsidR="0084558D" w:rsidRPr="0084558D">
        <w:rPr>
          <w:rFonts w:ascii="仿宋_GB2312" w:eastAsia="仿宋_GB2312" w:hAnsi="宋体" w:hint="eastAsia"/>
          <w:spacing w:val="-2"/>
          <w:kern w:val="0"/>
          <w:sz w:val="32"/>
          <w:szCs w:val="32"/>
        </w:rPr>
        <w:t>143号）</w:t>
      </w:r>
      <w:r w:rsidR="0084558D">
        <w:rPr>
          <w:rFonts w:ascii="仿宋_GB2312" w:eastAsia="仿宋_GB2312" w:hAnsi="宋体" w:hint="eastAsia"/>
          <w:spacing w:val="-2"/>
          <w:kern w:val="0"/>
          <w:sz w:val="32"/>
          <w:szCs w:val="32"/>
        </w:rPr>
        <w:t>的</w:t>
      </w:r>
      <w:r w:rsidR="0084558D">
        <w:rPr>
          <w:rFonts w:ascii="仿宋_GB2312" w:eastAsia="仿宋_GB2312" w:hAnsi="宋体"/>
          <w:spacing w:val="-2"/>
          <w:kern w:val="0"/>
          <w:sz w:val="32"/>
          <w:szCs w:val="32"/>
        </w:rPr>
        <w:t>相关规定，</w:t>
      </w:r>
      <w:r w:rsidR="003B5717" w:rsidRPr="0084558D">
        <w:rPr>
          <w:rFonts w:ascii="仿宋_GB2312" w:eastAsia="仿宋_GB2312" w:hAnsi="宋体" w:hint="eastAsia"/>
          <w:sz w:val="32"/>
          <w:szCs w:val="32"/>
        </w:rPr>
        <w:t>建议以上单位将漏项部分尽快公开。</w:t>
      </w:r>
    </w:p>
    <w:p w:rsidR="00FB5D16" w:rsidRDefault="00FB5D16"/>
    <w:p w:rsidR="003B5717" w:rsidRDefault="003B5717"/>
    <w:p w:rsidR="003B5717" w:rsidRDefault="003B5717"/>
    <w:p w:rsidR="003B5717" w:rsidRDefault="003B5717"/>
    <w:p w:rsidR="003B5717" w:rsidRDefault="003B5717"/>
    <w:p w:rsidR="003B5717" w:rsidRDefault="003B5717"/>
    <w:p w:rsidR="003B5717" w:rsidRDefault="003B5717"/>
    <w:p w:rsidR="003B5717" w:rsidRDefault="003B5717"/>
    <w:p w:rsidR="003B5717" w:rsidRPr="003B5717" w:rsidRDefault="003B5717" w:rsidP="0084558D">
      <w:pPr>
        <w:autoSpaceDE w:val="0"/>
        <w:autoSpaceDN w:val="0"/>
        <w:adjustRightInd w:val="0"/>
        <w:snapToGrid w:val="0"/>
        <w:spacing w:line="588" w:lineRule="atLeast"/>
        <w:ind w:firstLineChars="1400" w:firstLine="4424"/>
        <w:rPr>
          <w:rFonts w:ascii="仿宋_GB2312" w:eastAsia="仿宋_GB2312" w:hAnsi="宋体" w:cs="Times New Roman"/>
          <w:spacing w:val="-2"/>
          <w:sz w:val="32"/>
          <w:szCs w:val="32"/>
        </w:rPr>
      </w:pPr>
      <w:r w:rsidRPr="003B5717">
        <w:rPr>
          <w:rFonts w:ascii="仿宋_GB2312" w:eastAsia="仿宋_GB2312" w:hAnsi="宋体" w:cs="Times New Roman" w:hint="eastAsia"/>
          <w:spacing w:val="-2"/>
          <w:sz w:val="32"/>
          <w:szCs w:val="32"/>
        </w:rPr>
        <w:t>西宁市城东区财政局</w:t>
      </w:r>
    </w:p>
    <w:p w:rsidR="003B5717" w:rsidRPr="003B5717" w:rsidRDefault="003B5717" w:rsidP="003B5717">
      <w:pPr>
        <w:autoSpaceDE w:val="0"/>
        <w:autoSpaceDN w:val="0"/>
        <w:adjustRightInd w:val="0"/>
        <w:snapToGrid w:val="0"/>
        <w:spacing w:line="588" w:lineRule="atLeast"/>
        <w:rPr>
          <w:rFonts w:ascii="仿宋_GB2312" w:eastAsia="仿宋_GB2312" w:hAnsi="宋体" w:cs="Times New Roman" w:hint="eastAsia"/>
          <w:spacing w:val="-2"/>
          <w:sz w:val="32"/>
          <w:szCs w:val="32"/>
        </w:rPr>
      </w:pPr>
      <w:r w:rsidRPr="003B5717">
        <w:rPr>
          <w:rFonts w:ascii="仿宋_GB2312" w:eastAsia="仿宋_GB2312" w:hAnsi="宋体" w:cs="Times New Roman" w:hint="eastAsia"/>
          <w:spacing w:val="-2"/>
          <w:sz w:val="32"/>
          <w:szCs w:val="32"/>
        </w:rPr>
        <w:t xml:space="preserve">                               2017年</w:t>
      </w:r>
      <w:r w:rsidR="0084558D">
        <w:rPr>
          <w:rFonts w:ascii="仿宋_GB2312" w:eastAsia="仿宋_GB2312" w:hAnsi="宋体" w:cs="Times New Roman" w:hint="eastAsia"/>
          <w:spacing w:val="-2"/>
          <w:sz w:val="32"/>
          <w:szCs w:val="32"/>
        </w:rPr>
        <w:t>11</w:t>
      </w:r>
      <w:r w:rsidRPr="003B5717">
        <w:rPr>
          <w:rFonts w:ascii="仿宋_GB2312" w:eastAsia="仿宋_GB2312" w:hAnsi="宋体" w:cs="Times New Roman" w:hint="eastAsia"/>
          <w:spacing w:val="-2"/>
          <w:sz w:val="32"/>
          <w:szCs w:val="32"/>
        </w:rPr>
        <w:t>月</w:t>
      </w:r>
      <w:r w:rsidR="0084558D">
        <w:rPr>
          <w:rFonts w:ascii="仿宋_GB2312" w:eastAsia="仿宋_GB2312" w:hAnsi="宋体" w:cs="Times New Roman"/>
          <w:spacing w:val="-2"/>
          <w:sz w:val="32"/>
          <w:szCs w:val="32"/>
        </w:rPr>
        <w:t>8</w:t>
      </w:r>
      <w:r w:rsidRPr="003B5717">
        <w:rPr>
          <w:rFonts w:ascii="仿宋_GB2312" w:eastAsia="仿宋_GB2312" w:hAnsi="宋体" w:cs="Times New Roman" w:hint="eastAsia"/>
          <w:spacing w:val="-2"/>
          <w:sz w:val="32"/>
          <w:szCs w:val="32"/>
        </w:rPr>
        <w:t>日</w:t>
      </w:r>
    </w:p>
    <w:p w:rsidR="003B5717" w:rsidRPr="003B5717" w:rsidRDefault="003B5717" w:rsidP="003B5717">
      <w:pPr>
        <w:autoSpaceDE w:val="0"/>
        <w:autoSpaceDN w:val="0"/>
        <w:adjustRightInd w:val="0"/>
        <w:snapToGrid w:val="0"/>
        <w:spacing w:line="400" w:lineRule="exact"/>
        <w:rPr>
          <w:rFonts w:ascii="仿宋_GB2312" w:eastAsia="仿宋_GB2312" w:hAnsi="仿宋" w:cs="Times New Roman" w:hint="eastAsia"/>
          <w:spacing w:val="-2"/>
          <w:sz w:val="32"/>
          <w:szCs w:val="32"/>
          <w:u w:val="thick"/>
        </w:rPr>
      </w:pPr>
    </w:p>
    <w:p w:rsidR="003B5717" w:rsidRPr="003B5717" w:rsidRDefault="003B5717" w:rsidP="003B5717">
      <w:pPr>
        <w:autoSpaceDE w:val="0"/>
        <w:autoSpaceDN w:val="0"/>
        <w:adjustRightInd w:val="0"/>
        <w:snapToGrid w:val="0"/>
        <w:spacing w:line="400" w:lineRule="exact"/>
        <w:rPr>
          <w:rFonts w:ascii="仿宋_GB2312" w:eastAsia="仿宋_GB2312" w:hAnsi="仿宋" w:cs="Times New Roman" w:hint="eastAsia"/>
          <w:spacing w:val="-2"/>
          <w:sz w:val="32"/>
          <w:szCs w:val="32"/>
          <w:u w:val="thick"/>
        </w:rPr>
      </w:pPr>
    </w:p>
    <w:p w:rsidR="003B5717" w:rsidRDefault="003B5717" w:rsidP="003B5717">
      <w:pPr>
        <w:autoSpaceDE w:val="0"/>
        <w:autoSpaceDN w:val="0"/>
        <w:adjustRightInd w:val="0"/>
        <w:snapToGrid w:val="0"/>
        <w:spacing w:line="400" w:lineRule="exact"/>
        <w:rPr>
          <w:rFonts w:ascii="仿宋_GB2312" w:eastAsia="仿宋_GB2312" w:hAnsi="仿宋" w:cs="Times New Roman"/>
          <w:spacing w:val="-2"/>
          <w:sz w:val="32"/>
          <w:szCs w:val="32"/>
          <w:u w:val="thick"/>
        </w:rPr>
      </w:pPr>
    </w:p>
    <w:p w:rsidR="0084558D" w:rsidRDefault="0084558D" w:rsidP="003B5717">
      <w:pPr>
        <w:autoSpaceDE w:val="0"/>
        <w:autoSpaceDN w:val="0"/>
        <w:adjustRightInd w:val="0"/>
        <w:snapToGrid w:val="0"/>
        <w:spacing w:line="400" w:lineRule="exact"/>
        <w:rPr>
          <w:rFonts w:ascii="仿宋_GB2312" w:eastAsia="仿宋_GB2312" w:hAnsi="仿宋" w:cs="Times New Roman"/>
          <w:spacing w:val="-2"/>
          <w:sz w:val="32"/>
          <w:szCs w:val="32"/>
          <w:u w:val="thick"/>
        </w:rPr>
      </w:pPr>
    </w:p>
    <w:p w:rsidR="0084558D" w:rsidRDefault="0084558D" w:rsidP="003B5717">
      <w:pPr>
        <w:autoSpaceDE w:val="0"/>
        <w:autoSpaceDN w:val="0"/>
        <w:adjustRightInd w:val="0"/>
        <w:snapToGrid w:val="0"/>
        <w:spacing w:line="400" w:lineRule="exact"/>
        <w:rPr>
          <w:rFonts w:ascii="仿宋_GB2312" w:eastAsia="仿宋_GB2312" w:hAnsi="仿宋" w:cs="Times New Roman"/>
          <w:spacing w:val="-2"/>
          <w:sz w:val="32"/>
          <w:szCs w:val="32"/>
          <w:u w:val="thick"/>
        </w:rPr>
      </w:pPr>
    </w:p>
    <w:p w:rsidR="0084558D" w:rsidRDefault="0084558D" w:rsidP="003B5717">
      <w:pPr>
        <w:autoSpaceDE w:val="0"/>
        <w:autoSpaceDN w:val="0"/>
        <w:adjustRightInd w:val="0"/>
        <w:snapToGrid w:val="0"/>
        <w:spacing w:line="400" w:lineRule="exact"/>
        <w:rPr>
          <w:rFonts w:ascii="仿宋_GB2312" w:eastAsia="仿宋_GB2312" w:hAnsi="仿宋" w:cs="Times New Roman"/>
          <w:spacing w:val="-2"/>
          <w:sz w:val="32"/>
          <w:szCs w:val="32"/>
          <w:u w:val="thick"/>
        </w:rPr>
      </w:pPr>
    </w:p>
    <w:p w:rsidR="0084558D" w:rsidRPr="003B5717" w:rsidRDefault="0084558D" w:rsidP="003B5717">
      <w:pPr>
        <w:autoSpaceDE w:val="0"/>
        <w:autoSpaceDN w:val="0"/>
        <w:adjustRightInd w:val="0"/>
        <w:snapToGrid w:val="0"/>
        <w:spacing w:line="400" w:lineRule="exact"/>
        <w:rPr>
          <w:rFonts w:ascii="仿宋_GB2312" w:eastAsia="仿宋_GB2312" w:hAnsi="仿宋" w:cs="Times New Roman" w:hint="eastAsia"/>
          <w:spacing w:val="-2"/>
          <w:sz w:val="32"/>
          <w:szCs w:val="32"/>
          <w:u w:val="thick"/>
        </w:rPr>
      </w:pPr>
    </w:p>
    <w:p w:rsidR="003B5717" w:rsidRPr="003B5717" w:rsidRDefault="003B5717" w:rsidP="003B5717">
      <w:pPr>
        <w:autoSpaceDE w:val="0"/>
        <w:autoSpaceDN w:val="0"/>
        <w:adjustRightInd w:val="0"/>
        <w:snapToGrid w:val="0"/>
        <w:spacing w:line="400" w:lineRule="exact"/>
        <w:rPr>
          <w:rFonts w:ascii="仿宋_GB2312" w:eastAsia="仿宋_GB2312" w:hAnsi="仿宋" w:cs="Times New Roman" w:hint="eastAsia"/>
          <w:spacing w:val="-2"/>
          <w:sz w:val="32"/>
          <w:szCs w:val="32"/>
          <w:u w:val="thick"/>
        </w:rPr>
      </w:pPr>
      <w:r w:rsidRPr="003B5717">
        <w:rPr>
          <w:rFonts w:ascii="仿宋_GB2312" w:eastAsia="仿宋_GB2312" w:hAnsi="仿宋" w:cs="Times New Roman" w:hint="eastAsia"/>
          <w:spacing w:val="-2"/>
          <w:sz w:val="32"/>
          <w:szCs w:val="32"/>
          <w:u w:val="thick"/>
        </w:rPr>
        <w:t xml:space="preserve">                                                    </w:t>
      </w:r>
    </w:p>
    <w:p w:rsidR="003B5717" w:rsidRPr="00A21844" w:rsidRDefault="003B5717" w:rsidP="00A21844">
      <w:pPr>
        <w:autoSpaceDE w:val="0"/>
        <w:autoSpaceDN w:val="0"/>
        <w:adjustRightInd w:val="0"/>
        <w:snapToGrid w:val="0"/>
        <w:spacing w:line="560" w:lineRule="exact"/>
        <w:rPr>
          <w:rFonts w:ascii="宋体" w:eastAsia="仿宋_GB2312" w:hAnsi="宋体" w:cs="Times New Roman" w:hint="eastAsia"/>
          <w:spacing w:val="-2"/>
          <w:sz w:val="32"/>
          <w:szCs w:val="32"/>
        </w:rPr>
      </w:pPr>
      <w:r w:rsidRPr="003B5717">
        <w:rPr>
          <w:rFonts w:ascii="仿宋_GB2312" w:eastAsia="仿宋_GB2312" w:hAnsi="仿宋" w:cs="Times New Roman" w:hint="eastAsia"/>
          <w:spacing w:val="-2"/>
          <w:sz w:val="32"/>
          <w:szCs w:val="32"/>
          <w:u w:val="thick"/>
        </w:rPr>
        <w:t xml:space="preserve">  西宁市城东区财政局           2017年</w:t>
      </w:r>
      <w:r w:rsidR="0084558D">
        <w:rPr>
          <w:rFonts w:ascii="仿宋_GB2312" w:eastAsia="仿宋_GB2312" w:hAnsi="仿宋" w:cs="Times New Roman" w:hint="eastAsia"/>
          <w:spacing w:val="-2"/>
          <w:sz w:val="32"/>
          <w:szCs w:val="32"/>
          <w:u w:val="thick"/>
        </w:rPr>
        <w:t>11</w:t>
      </w:r>
      <w:r w:rsidRPr="003B5717">
        <w:rPr>
          <w:rFonts w:ascii="仿宋_GB2312" w:eastAsia="仿宋_GB2312" w:hAnsi="仿宋" w:cs="Times New Roman" w:hint="eastAsia"/>
          <w:spacing w:val="-2"/>
          <w:sz w:val="32"/>
          <w:szCs w:val="32"/>
          <w:u w:val="thick"/>
        </w:rPr>
        <w:t>月</w:t>
      </w:r>
      <w:r w:rsidR="0084558D">
        <w:rPr>
          <w:rFonts w:ascii="仿宋_GB2312" w:eastAsia="仿宋_GB2312" w:hAnsi="仿宋" w:cs="Times New Roman"/>
          <w:spacing w:val="-2"/>
          <w:sz w:val="32"/>
          <w:szCs w:val="32"/>
          <w:u w:val="thick"/>
        </w:rPr>
        <w:t>8</w:t>
      </w:r>
      <w:r w:rsidRPr="003B5717">
        <w:rPr>
          <w:rFonts w:ascii="仿宋_GB2312" w:eastAsia="仿宋_GB2312" w:hAnsi="仿宋" w:cs="Times New Roman" w:hint="eastAsia"/>
          <w:spacing w:val="-2"/>
          <w:sz w:val="32"/>
          <w:szCs w:val="32"/>
          <w:u w:val="thick"/>
        </w:rPr>
        <w:t xml:space="preserve">日印发  </w:t>
      </w:r>
      <w:bookmarkStart w:id="0" w:name="_GoBack"/>
      <w:bookmarkEnd w:id="0"/>
    </w:p>
    <w:sectPr w:rsidR="003B5717" w:rsidRPr="00A21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charset w:val="86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85"/>
    <w:rsid w:val="00107085"/>
    <w:rsid w:val="003B5717"/>
    <w:rsid w:val="0084558D"/>
    <w:rsid w:val="00A21844"/>
    <w:rsid w:val="00FB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885AE"/>
  <w15:chartTrackingRefBased/>
  <w15:docId w15:val="{D0C7AAE1-1B86-45A8-B41B-E478B575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085"/>
    <w:pPr>
      <w:widowControl w:val="0"/>
      <w:jc w:val="both"/>
    </w:pPr>
    <w:rPr>
      <w:rFonts w:ascii="DengXian" w:eastAsia="宋体" w:hAnsi="DengXian" w:cs="宋体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84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21844"/>
    <w:rPr>
      <w:rFonts w:ascii="DengXian" w:eastAsia="宋体" w:hAnsi="DengXian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2017-12-03T05:54:00Z</cp:lastPrinted>
  <dcterms:created xsi:type="dcterms:W3CDTF">2017-12-03T05:26:00Z</dcterms:created>
  <dcterms:modified xsi:type="dcterms:W3CDTF">2017-12-03T05:57:00Z</dcterms:modified>
</cp:coreProperties>
</file>