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5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城东区市场监管领域</w:t>
      </w:r>
      <w:r>
        <w:rPr>
          <w:rFonts w:hint="eastAsia" w:ascii="方正小标宋简体" w:hAnsi="方正小标宋简体" w:eastAsia="方正小标宋简体" w:cs="方正小标宋简体"/>
          <w:color w:val="auto"/>
          <w:sz w:val="44"/>
          <w:szCs w:val="44"/>
          <w:lang w:val="en-US" w:eastAsia="zh-CN"/>
        </w:rPr>
        <w:t>本部门</w:t>
      </w:r>
      <w:r>
        <w:rPr>
          <w:rFonts w:hint="eastAsia" w:ascii="方正小标宋简体" w:hAnsi="方正小标宋简体" w:eastAsia="方正小标宋简体" w:cs="方正小标宋简体"/>
          <w:color w:val="auto"/>
          <w:sz w:val="44"/>
          <w:szCs w:val="44"/>
          <w:lang w:eastAsia="zh-CN"/>
        </w:rPr>
        <w:t>2022年“双随机、一公开”</w:t>
      </w:r>
    </w:p>
    <w:p>
      <w:pPr>
        <w:keepNext w:val="0"/>
        <w:keepLines w:val="0"/>
        <w:pageBreakBefore w:val="0"/>
        <w:widowControl w:val="0"/>
        <w:kinsoku/>
        <w:wordWrap/>
        <w:overflowPunct/>
        <w:topLinePunct w:val="0"/>
        <w:autoSpaceDE/>
        <w:autoSpaceDN/>
        <w:bidi w:val="0"/>
        <w:adjustRightInd/>
        <w:snapToGrid/>
        <w:spacing w:line="65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抽查工作计划调整情况表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tbl>
      <w:tblPr>
        <w:tblStyle w:val="7"/>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3"/>
        <w:gridCol w:w="529"/>
        <w:gridCol w:w="2871"/>
        <w:gridCol w:w="3042"/>
        <w:gridCol w:w="1814"/>
        <w:gridCol w:w="1095"/>
        <w:gridCol w:w="780"/>
        <w:gridCol w:w="1093"/>
        <w:gridCol w:w="901"/>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sz w:val="24"/>
                <w:szCs w:val="24"/>
                <w:highlight w:val="none"/>
                <w:u w:val="none"/>
                <w:shd w:val="clear" w:color="auto" w:fill="auto"/>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sz w:val="24"/>
                <w:szCs w:val="24"/>
                <w:highlight w:val="none"/>
                <w:u w:val="none"/>
                <w:shd w:val="clear" w:color="auto" w:fill="auto"/>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sz w:val="24"/>
                <w:szCs w:val="24"/>
                <w:highlight w:val="none"/>
                <w:u w:val="none"/>
                <w:shd w:val="clear" w:color="auto" w:fill="auto"/>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sz w:val="24"/>
                <w:szCs w:val="24"/>
                <w:highlight w:val="none"/>
                <w:u w:val="none"/>
                <w:shd w:val="clear" w:color="auto" w:fill="auto"/>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sz w:val="24"/>
                <w:szCs w:val="24"/>
                <w:highlight w:val="none"/>
                <w:u w:val="none"/>
                <w:shd w:val="clear" w:color="auto" w:fill="auto"/>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sz w:val="24"/>
                <w:szCs w:val="24"/>
                <w:highlight w:val="none"/>
                <w:u w:val="none"/>
                <w:shd w:val="clear" w:color="auto" w:fill="auto"/>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sz w:val="24"/>
                <w:szCs w:val="24"/>
                <w:highlight w:val="none"/>
                <w:u w:val="none"/>
                <w:shd w:val="clear" w:color="auto" w:fill="auto"/>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sz w:val="24"/>
                <w:szCs w:val="24"/>
                <w:highlight w:val="none"/>
                <w:u w:val="none"/>
                <w:shd w:val="clear" w:color="auto" w:fill="auto"/>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sz w:val="24"/>
                <w:szCs w:val="24"/>
                <w:highlight w:val="none"/>
                <w:u w:val="none"/>
                <w:shd w:val="clear" w:color="auto" w:fill="auto"/>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sz w:val="24"/>
                <w:szCs w:val="24"/>
                <w:highlight w:val="none"/>
                <w:u w:val="none"/>
                <w:shd w:val="clear" w:color="auto" w:fill="auto"/>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城东区委宣传部</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（3项）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对出版单位变更、终止审批及业务活动的监督检查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城东区委宣传部2022年对出版单位变更、终止审批及业务活动的抽查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企业、个体工商户</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20%，1次/年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10月至11月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2" w:hRule="atLeast"/>
          <w:jc w:val="center"/>
        </w:trPr>
        <w:tc>
          <w:tcPr>
            <w:tcW w:w="11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eastAsia" w:ascii="仿宋" w:hAnsi="仿宋" w:eastAsia="仿宋" w:cs="仿宋"/>
                <w:i w:val="0"/>
                <w:color w:val="auto"/>
                <w:sz w:val="24"/>
                <w:szCs w:val="24"/>
                <w:highlight w:val="none"/>
                <w:u w:val="none"/>
                <w:shd w:val="clear" w:color="auto" w:fill="auto"/>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对从事包装装潢印刷品和其他印刷品印刷企业(含外资企业) 经营活动的监督检查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城东区委宣传部2022年对从事包装装潢印刷品和其他印刷品印刷企业(含外资企业) 经营活动的抽查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企业、个体工商户</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20%，1次/年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10月至11月</w:t>
            </w:r>
          </w:p>
        </w:tc>
        <w:tc>
          <w:tcPr>
            <w:tcW w:w="8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eastAsia" w:ascii="仿宋" w:hAnsi="仿宋" w:eastAsia="仿宋" w:cs="仿宋"/>
                <w:i w:val="0"/>
                <w:color w:val="auto"/>
                <w:sz w:val="24"/>
                <w:szCs w:val="24"/>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eastAsia" w:ascii="仿宋" w:hAnsi="仿宋" w:eastAsia="仿宋" w:cs="仿宋"/>
                <w:i w:val="0"/>
                <w:color w:val="auto"/>
                <w:sz w:val="24"/>
                <w:szCs w:val="24"/>
                <w:highlight w:val="none"/>
                <w:u w:val="none"/>
                <w:shd w:val="clear" w:color="auto" w:fill="auto"/>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对电影放映业务的监督检查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城东区委宣传部2022年对电影放映业务的抽查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企业、个体工商户</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20%，1次/年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10月至11月</w:t>
            </w:r>
          </w:p>
        </w:tc>
        <w:tc>
          <w:tcPr>
            <w:tcW w:w="8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eastAsia" w:ascii="仿宋" w:hAnsi="仿宋" w:eastAsia="仿宋" w:cs="仿宋"/>
                <w:i w:val="0"/>
                <w:color w:val="auto"/>
                <w:sz w:val="24"/>
                <w:szCs w:val="24"/>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区发展改革和工业信息化局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对企业投资建设固定资产投资项目的监督检查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城东区发展改革和工业信息化局2022年对核准备案的企业投资项目的抽查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lang w:val="en-US" w:eastAsia="zh-CN"/>
              </w:rPr>
            </w:pPr>
            <w:r>
              <w:rPr>
                <w:rFonts w:hint="eastAsia" w:ascii="仿宋" w:hAnsi="仿宋" w:eastAsia="仿宋" w:cs="仿宋"/>
                <w:i w:val="0"/>
                <w:color w:val="auto"/>
                <w:sz w:val="24"/>
                <w:szCs w:val="24"/>
                <w:highlight w:val="none"/>
                <w:u w:val="none"/>
                <w:shd w:val="clear" w:color="auto" w:fill="auto"/>
                <w:lang w:val="en-US" w:eastAsia="zh-CN"/>
              </w:rPr>
              <w:t>区内投资项目</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3%，4次/年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1月至11月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区发展改革和工业信息化局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2" w:hRule="atLeast"/>
          <w:jc w:val="center"/>
        </w:trPr>
        <w:tc>
          <w:tcPr>
            <w:tcW w:w="11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eastAsia" w:ascii="仿宋" w:hAnsi="仿宋" w:eastAsia="仿宋" w:cs="仿宋"/>
                <w:i w:val="0"/>
                <w:color w:val="auto"/>
                <w:sz w:val="20"/>
                <w:szCs w:val="20"/>
                <w:highlight w:val="none"/>
                <w:u w:val="none"/>
                <w:shd w:val="clear" w:color="auto" w:fill="auto"/>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对对外劳务合作的监督检查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城东区发展改革和工业信息化局2022年对对外劳务合作的抽查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sz w:val="24"/>
                <w:szCs w:val="24"/>
                <w:highlight w:val="none"/>
                <w:u w:val="none"/>
                <w:shd w:val="clear" w:color="auto" w:fill="auto"/>
                <w:lang w:val="en-US"/>
              </w:rPr>
            </w:pPr>
            <w:r>
              <w:rPr>
                <w:rFonts w:hint="eastAsia" w:ascii="仿宋" w:hAnsi="仿宋" w:eastAsia="仿宋" w:cs="仿宋"/>
                <w:i w:val="0"/>
                <w:color w:val="auto"/>
                <w:kern w:val="0"/>
                <w:sz w:val="24"/>
                <w:szCs w:val="24"/>
                <w:highlight w:val="none"/>
                <w:u w:val="none"/>
                <w:shd w:val="clear" w:color="auto" w:fill="auto"/>
                <w:lang w:val="en-US" w:eastAsia="zh-CN" w:bidi="ar-SA"/>
              </w:rPr>
              <w:t>全区对外劳务合作企业</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sz w:val="24"/>
                <w:szCs w:val="24"/>
                <w:highlight w:val="none"/>
                <w:u w:val="none"/>
                <w:shd w:val="clear" w:color="auto" w:fill="auto"/>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eastAsia" w:ascii="仿宋" w:hAnsi="仿宋" w:eastAsia="仿宋" w:cs="仿宋"/>
                <w:i w:val="0"/>
                <w:color w:val="auto"/>
                <w:sz w:val="20"/>
                <w:szCs w:val="20"/>
                <w:highlight w:val="none"/>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区发展改革和工业信息化局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对拍卖行业的检查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城东区发展改革和工业信息化局2022年对拍卖行业的抽查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全区拍卖行业</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 ，1次/年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9月至11月</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区发展改革和工业信息化局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城东区教育局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对民办学校的监督检查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城东区教育局2022年对民办学校办学情况的抽查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辖区内民办幼儿园</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城东区民宗委</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对清真食品生产经营企业的监督检查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城东区民族宗教事务委员会2022年对清真食品安全的抽查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全市区清真食品生产经营企业</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6月至10月</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区民宗委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城东公安分局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对保安服务合同和监控影像资料、报警记录留存制度落实情况的监督检查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城东公安分局2022年对保安行业的抽查</w:t>
            </w:r>
          </w:p>
        </w:tc>
        <w:tc>
          <w:tcPr>
            <w:tcW w:w="1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保安从业单位</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3%，2次/年</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对保安服务中涉及的安全技术防范产品、设备安装、变更、使用情况的监督检查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3"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对保安服务管理制度、岗位责任制度、保安员管理制度和紧急情况应急预案建立落实情况的监督检查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对保安员及其服装、保安服务标志与装备管理情况的监督检查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对保安员在岗培训和权益保障工作落实情况的监督检查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对保安员被投诉举报事项纠正情况的监督检查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8"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8"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城东公安分局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对涉枪安全的监督检查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城东公安分局2022年对涉枪安全的抽查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非公安机关公务用枪配备单位、民枪配售单位、配置单位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3月至7月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8"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对涉爆安全的监督检查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城东公安分局2022年对涉爆安全的抽查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民用爆炸物品销售及爆破作业单位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按工作需要调整抽查比例，2次/年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5月至9月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对涉危安全的监督检查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城东公安分局2022年对涉危安全的抽查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剧毒从业单位、易制爆从业单位；烟花爆竹批发、燃放、零售点</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7月至10月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对娱乐场所和特种行业的监督检查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城东公安分局2022年对娱乐场所和特种行业的抽查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旅馆业、公章刻制业、娱乐场所</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按工作需要调整抽查比例，10次/年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8"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城东区民政局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对社会团体执行国家规定的财务管理制度以及资产来源情况进行监督检查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城东区民政局2022年对社会团体执行国家规定的财务管理制度以及资产来源情况、对民办非企业单位的成立、变更、注销登记及年度工作情况抽查</w:t>
            </w:r>
          </w:p>
        </w:tc>
        <w:tc>
          <w:tcPr>
            <w:tcW w:w="1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社会团体、</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民办非企业单位</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4%，1次/年</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6"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对民办非企业单位的成立、变更、注销登记及年度工作情况进行监督检查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8"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城东区司法局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对律师事务所及律师管理的监督检查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城东区司法局2022年对律师事务所及律师管理的抽查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全区律师事务所</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对基层法律服务工作的监督检查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城东区司法局2022年对基层法律服务工作的抽查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全区基层法律服务工作者</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8"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3"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城东区人力资源社会保障局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（17项）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对内部规章制度制定情况的监督检查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城东区人力资源和社会保障局2022年对劳动用工情况的抽查</w:t>
            </w:r>
          </w:p>
        </w:tc>
        <w:tc>
          <w:tcPr>
            <w:tcW w:w="1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各类用人单位</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对劳动合同订立、解除的监督检查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对招用工管理的监督检查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对遵守工作时间和休息休假情况的监督检查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对禁止使用童工规定情况的监督检查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对女职工特殊劳动保护规定情况的监督检查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对未成年工特殊保护规定情况的监督检查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对支付劳动者工资和执行最低工资标准情况的监督检查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对社会保险征缴情况的监督检查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对社会保险基金监管情况的监督检查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对遵守失业保险法律法规的情况的监督检查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对遵守工伤保险法律法规情况的监督检查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对人力资源服务机构管理的监督检查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城东区人力资源和社会保障局2022年对人力资源市场的抽查</w:t>
            </w:r>
          </w:p>
        </w:tc>
        <w:tc>
          <w:tcPr>
            <w:tcW w:w="1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经营性人力资源服务机构</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对遵守人力资源市场活动规范情况的监督检查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城东区人力资源社会保障局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（17项）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对职业技能培训教育鉴定机构管理情况的监督检查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城东区人力资源和社会保障局2022年对职业技能培训机构的抽查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职业技能培训机构</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对劳务派遣单位管理情况的监督检查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城东区人力资源和社会保障局2022年对劳务派遣管理情况的抽查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各类用人单位</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对用人单位劳务派遣管理情况的监督检查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劳务派遣单位</w:t>
            </w: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城东区财政局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会计信息质量监督检查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城东区财政局2022年对会计信息质量监督检查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行政事业单位及企业</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6个行政事业单位、1个企业，1次/年。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城东区自然资源和林业局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对水资源管理的监督检查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2022年城东区自然资源和林业局水资源管理事项抽查任务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权限内取水许可涉及的取用水户</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 ，2次/年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区自然资源和林业局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对生产建设项目水土保持情况的监督检查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2022年城东区自然资源和林业局水土保持事项抽查任务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辖区从事水土保持活动的生产建设单位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10%，2次/年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对河道管理的监督检查（含河道管理范围内建设项目和河道采砂）</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2022年城东区自然资源和林业局河道管理事项抽查任务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纳入全区河长制管理范围内的所有河道，未建、在建、已建水利工程</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10%，2次/年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对林地征用、占用和林地开展利用工作的监督检查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2022年城东区自然资源和林业局林地征用、占用和林地开展利用事项抽查任务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各占用林地单位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bl>
    <w:p/>
    <w:tbl>
      <w:tblPr>
        <w:tblStyle w:val="7"/>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3"/>
        <w:gridCol w:w="529"/>
        <w:gridCol w:w="2871"/>
        <w:gridCol w:w="3042"/>
        <w:gridCol w:w="1814"/>
        <w:gridCol w:w="1095"/>
        <w:gridCol w:w="780"/>
        <w:gridCol w:w="1093"/>
        <w:gridCol w:w="901"/>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城东区自然资源和林业局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对造林绿化的监督检查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2022年城东区自然资源和林业局造林绿化事项抽查任务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各绿化单位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3月至10月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区自然资源和林业局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对森林病虫害除治情况定期检查、防治工作的监督检查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2022年城东区自然资源和林业局森林病虫害防治事项抽查任务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各绿化单位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对森林防火的监督检查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2022年城东区自然资源和林业局森林防火事项抽查任务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韵家口镇，大众街、八一路、林家崖、周家泉街道办事处，各林业管护单位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100%，  森林防火期间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森林防火期间</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对野生动物经营利用监督检查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2022年城东区自然资源和林业局野生动物经营利用事项抽查任务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辖区动物经营市场</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100%，2次/年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6月至10月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对捕猎国家重点保护野生动物活动的监督检查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2022年城东区自然资源和林业局对捕猎国家重点保护野生动植物活动的抽查任务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辖区动物经营市场</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对草原进行征占用或开发利用的监督检查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2022年城东区自然资源和林业局对草原进行征占用火开发利用的抽查任务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各占用草地单位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对国家重点保护野生动物人工繁育场所的监督检查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2022年城东区自然资源和林业局对国家重点保护野生动物人工繁育场所的监督检查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国家重点保护野生动物人工繁育场所</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5"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城东区生态环境局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对排污单位环境保护和污染防治设施建设、运行情况、排污情况的监督检查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城东区生态环境局2022年对排污单位环境保护和污染防治设施建设、运行情况、排污情况的抽查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排污单位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10%，4次/年</w:t>
            </w:r>
            <w:r>
              <w:rPr>
                <w:rFonts w:hint="eastAsia" w:ascii="仿宋" w:hAnsi="仿宋" w:eastAsia="仿宋" w:cs="仿宋"/>
                <w:i w:val="0"/>
                <w:color w:val="auto"/>
                <w:kern w:val="0"/>
                <w:sz w:val="24"/>
                <w:szCs w:val="24"/>
                <w:highlight w:val="none"/>
                <w:u w:val="none"/>
                <w:shd w:val="clear" w:color="auto" w:fill="auto"/>
                <w:lang w:val="en-US" w:eastAsia="zh-CN" w:bidi="ar-SA"/>
              </w:rPr>
              <w:br w:type="textWrapping"/>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1月至11月</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3"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3"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城东区生态环境局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对固体废物污染环境防治有关单位的监督检查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城东区生态环境局2022年对固体废物污染环境防治有关单位的抽查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固废集中处置设施运营单位、危险废物产生及经营单位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10%，2次/年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8"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对辐射环境安全管理情况的监督检查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城东区生态环境局2022年对辐射环境安全管理情况的抽查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核技术利用单位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城东区城管局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55</w:t>
            </w:r>
          </w:p>
        </w:tc>
        <w:tc>
          <w:tcPr>
            <w:tcW w:w="2871"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对市政公用事业（市容环境卫生、生活垃圾处理、供水、排水与污水处理等情况）的监督检查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城东区城管局2022年对对市政公用事业的抽查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全区涉及门头广告、楼体大字、三面翻广告、LED显示屏的市场主体</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城东区农业农村和乡村振兴局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对农药登记实验单位和登记实验过程的监督检查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城东区农业农村和乡村振兴局2022年对农药生产（经营）企业的抽查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全区农资经营门店</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30%，2次/年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区农业农村和乡村振兴局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对动物诊疗情况的监督检查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城东区农业农村和乡村振兴局2022年对动物诊疗机构的抽查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全区动物诊疗机构</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对种子市场规范情况的监督检查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城东区农业农村和乡村振兴局2022年对种子经营店的抽查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全区种子生产经营企业</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城东区文体旅游科技局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对影剧院、歌舞、游艺娱乐场所取得、公示相关行政许可证及经营情况的检查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城东区文体旅游科技局2022年对娱乐场所的抽查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影剧院、歌舞、游艺娱乐场所</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区文体旅游科技局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对互联网上网服务营业场所取得、公示许可证及经营情况的检查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城东区文体旅游科技局2022年对互联网上网服务营业场所的抽查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互联网上网服务营业场所</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城东区卫生健康局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对医疗机构的监督检查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城东区卫生健康局2022年对医疗机构的抽查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区属各医疗机构</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对放射卫生情况的监督检查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城东区卫生健康局2022年对放射卫生情况的抽查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区属各医疗机构</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对传染病防治卫生的监督检查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城东区卫生健康局2022年对传染病防治卫生的抽查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区属各医疗机构</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对计划生育工作的监督检查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城东区卫生健康局2022年对计划生育工作的抽查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区属各医疗机构</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2"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城东区应急管理局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对生产危险化学品企业的监督检查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城东区应急管理局2022年对生产危险化学品企业的抽查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全区危险化学品生产企业</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2"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对冶金、有色、机械、建材等工贸八大行业企业的监督检查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城东区应急管理局2022年对冶金、有色、机械、建材等工贸八大行业企业的抽查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全区冶金、有色、机械、建材等工贸八大行业企业</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城东区消防救援大队</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对消防监督检查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城东区消防救援大队2022年对消防安全抽查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机关、事业单位、社会团体、企业及个体工商户</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3"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对公众聚集场所投入使用、营业前消防安全检查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城东区消防救援大队2022年对公众聚集场所投入使用、营业前消防安全检查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新投入使用的公众聚集场所</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不设上限</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城东区医疗保障局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对医保基金的监督检查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城东区医疗保障局2022年对医保基金的抽查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城东区范围内定点零售药店、一级及以下定点医疗机构</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9月至11月</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7"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对营业执照（登记证）规范使用情况的监督检查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城东区市场监管局2022年对市场主体登记事项的抽查</w:t>
            </w:r>
          </w:p>
        </w:tc>
        <w:tc>
          <w:tcPr>
            <w:tcW w:w="1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企业、农民专业合作社、个体工商户</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对市场主体类型（常驻代表机构）的监督检查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对名称规范使用情况的监督检查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对经营（驻在）期限或者合伙期限的监督检查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对经营（业务）范围的监督检查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对住所（经营场所）或驻在场所的监督检查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有限责任公司股东、股份有限公司发起人、非公司企业法人出资人的姓名或者名称；个人独资企业的投资人姓名及居所；合伙企业的合伙人名称或者姓名、住所、承担责任方式；个体工商户的经营者姓名、住所、经营场所等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对市场主体登记联络员、外商投资企业法律文件送达接受人真实性的监督检查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对农民专业合作社（联合社）成员、参加经营的个体工商户家庭成员情况的监督检查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对注册资本（注册资金、出资总额、投资额）的监督检查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城东区市场监管局2022年对市场主体登记事项的抽查</w:t>
            </w:r>
          </w:p>
        </w:tc>
        <w:tc>
          <w:tcPr>
            <w:tcW w:w="1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企业、农民专业合作社、个体工商户</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对法定代表人、执行事务合伙人或者负责人（首席代表）身份真实性、任职情况的监督监督检查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对章程或者合伙协议备案情况的监督检查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对有限责任公司股东或者股份有限公司发起人认缴的出资数额，合伙企业合伙人认缴或者实际缴付的出资数额、缴付期限和出资方式等情况的监督检查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7"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对公司、合伙企业等市场主体受益所有人相关信息情况的监督检查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对公司董事、监事、高级管理人员的监督检查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0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对执行政府定价、政府指导价情况，明码标价情况及其他价格行为的检查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城东区市场监管局2022年对价格行为的抽查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区本级登记注册的大型商超、农贸市场</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年度报告公示信息</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城东区市场监管局2022年对市场主体年报信息抽查</w:t>
            </w:r>
          </w:p>
        </w:tc>
        <w:tc>
          <w:tcPr>
            <w:tcW w:w="1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全市已年报企业、农民专业合作社、个体工商户</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7月至10月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即时公示信息的监督检查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电子商务平台经营者履行主体责任的检查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城东区市场监管局2022年对电子商务经营行为监督抽查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全区登记注册的电子商务平台经营者</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对拍卖活动经营资格的检查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城东区市场监管局2022年对拍卖等重要领域市场规范管理抽查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从事拍卖活动企业、个体工商户</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对文物经营活动经营资格的检查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从事文物经营活动企业、个体工商户</w:t>
            </w: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对为非法交易野生动物等违法行为提供交易服务的检查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企业、个体工商户</w:t>
            </w: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对药品、医疗器械、保健食品、特殊医学用途配方食品广告主发布相关广告的审查批准情况的检查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城东区市场监管局2022年对广告行为抽查</w:t>
            </w:r>
          </w:p>
        </w:tc>
        <w:tc>
          <w:tcPr>
            <w:tcW w:w="1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从事广告发布企业、个体工商户及其它经营单位</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90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3"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对广告经营者、广告发布者建立、健全广告业务的承接登记、审核、档案管理制度情况的检查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0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bl>
    <w:p/>
    <w:tbl>
      <w:tblPr>
        <w:tblStyle w:val="7"/>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3"/>
        <w:gridCol w:w="529"/>
        <w:gridCol w:w="2871"/>
        <w:gridCol w:w="3042"/>
        <w:gridCol w:w="1814"/>
        <w:gridCol w:w="1095"/>
        <w:gridCol w:w="780"/>
        <w:gridCol w:w="929"/>
        <w:gridCol w:w="10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3"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对商标使用行为的检查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城东区市场监管局2022年对商标使用行为的抽查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企业、个体、农民专业合作社商标使用主体</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对商标印制行为的检查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全区市场主体</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对集体商标、证明商标（含地理标志）使用行为的检查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根据省局抽取确定的对象、范围检查</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按照省局抽查比例和频次检查</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省局确定</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对商标代理行为的检查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城东区市场监管局2022年对商标代理行为的抽查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根据省局抽取确定的对象、范围检查</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按照省局抽查比例和频次检查</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省局确定</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对食品生产监督检查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城东区市场监管局2022年对食品生产监督抽查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获证食品生产企业</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对食品安全监督抽检</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城东区市场监管局2022年对食品安全监督抽检</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市场在售食品</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8月至11月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对小餐饮备案情况的监督检查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城东区市场监督管理局2022年对小餐饮服务的抽查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辖区内的小餐饮店</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对食品摊贩登记管理情况的监督检查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城东区市场监督管理局2022年度对食品摊贩登记情况的抽查</w:t>
            </w:r>
          </w:p>
        </w:tc>
        <w:tc>
          <w:tcPr>
            <w:tcW w:w="1814"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辖区内的食品摊贩</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bl>
    <w:p/>
    <w:tbl>
      <w:tblPr>
        <w:tblStyle w:val="7"/>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3"/>
        <w:gridCol w:w="529"/>
        <w:gridCol w:w="2871"/>
        <w:gridCol w:w="3042"/>
        <w:gridCol w:w="1814"/>
        <w:gridCol w:w="1095"/>
        <w:gridCol w:w="780"/>
        <w:gridCol w:w="929"/>
        <w:gridCol w:w="10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929" w:type="dxa"/>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1065" w:type="dxa"/>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对食品标签标识及外观质量的监督检查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城东区市场监管局2022年对食品销售经营行为的抽查</w:t>
            </w:r>
          </w:p>
        </w:tc>
        <w:tc>
          <w:tcPr>
            <w:tcW w:w="1814" w:type="dxa"/>
            <w:vMerge w:val="restar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食品销售经营者</w:t>
            </w:r>
          </w:p>
        </w:tc>
        <w:tc>
          <w:tcPr>
            <w:tcW w:w="1095" w:type="dxa"/>
            <w:vMerge w:val="restart"/>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vMerge w:val="restart"/>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1065" w:type="dxa"/>
            <w:vMerge w:val="restart"/>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对食品销售经营资质（食品摊贩登记卡核发）和经营条件情况的监督检查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29" w:type="dxa"/>
            <w:vMerge w:val="continue"/>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65" w:type="dxa"/>
            <w:vMerge w:val="continue"/>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对食品销售从业人员、索证索票等管理制度落实情况的监督检查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29" w:type="dxa"/>
            <w:vMerge w:val="continue"/>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65" w:type="dxa"/>
            <w:vMerge w:val="continue"/>
            <w:tcBorders>
              <w:bottom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对食品销售设置设备、贮存和运输情况的监督检查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2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6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对餐饮经营者的监督检查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城东区市场监督管理局2022年对餐饮经营者的监督抽查</w:t>
            </w:r>
          </w:p>
        </w:tc>
        <w:tc>
          <w:tcPr>
            <w:tcW w:w="1814"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餐饮服务经营者、学校、托幼机构、养老机构等食堂</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对网络餐饮服务情况的检查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城东区市场监督管理局2022年对入网餐饮服务提供者的监督抽查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入网餐饮服务提供者、网络餐饮服务第三方平台</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7"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食品生产加工小作坊许可证核发</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城东区市场监管局2022年食品生产加工小作坊登记情况的监督抽查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获证食品生产加工小作坊</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15家，1次/年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7"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109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对婴幼儿配方食品销售情况的监督检查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城东区市场监管局2022年对特殊食品销售的监督抽查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婴幼儿配方食品销售者</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对特殊医学用途配方食品销售监督检查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特殊医学用途配方食品销售者</w:t>
            </w: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2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6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bl>
    <w:p/>
    <w:tbl>
      <w:tblPr>
        <w:tblStyle w:val="7"/>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3"/>
        <w:gridCol w:w="529"/>
        <w:gridCol w:w="2871"/>
        <w:gridCol w:w="3042"/>
        <w:gridCol w:w="1814"/>
        <w:gridCol w:w="1095"/>
        <w:gridCol w:w="780"/>
        <w:gridCol w:w="929"/>
        <w:gridCol w:w="10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2"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7"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对在用计量器具的监督检查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城东区市场监管局2022年对计量监督抽查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企业、事业单位、个体工商户及其他经营者</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对法定计量检定机构的专项监督检查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法定计量检定机构</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对检验检测机构检查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城东区市场监管局2022年对检验检测机构抽查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根据省局抽取确定的对象、范围检查</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省局确定</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省局确定</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对企业标准自我声明监督检查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城东区市场监管局2022年对市场类标准监督抽查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根据省局抽取确定的对象、范围检查</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省局确定</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省局确定</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对团体标准自我声明监督检查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根据省局抽取确定的对象、范围检查</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省局确定</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省局确定</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对专利证书、专利文件或专利申请文件真实性的检查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城东区市场监管局2022年对专利真实性监督抽查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全市市场主体、产品</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9月至11月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对产品专利宣传真实性的检查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全市市场主体</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（52项）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对生产领域产品质量监督抽查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城东区市场监管局2022年对产品质量监督抽查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市场上或企业成品仓库内的待销产品</w:t>
            </w:r>
          </w:p>
        </w:tc>
        <w:tc>
          <w:tcPr>
            <w:tcW w:w="10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不低于5%，1次/年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119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对食品相关产品质量安全监督检查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食品相关产品获证企业</w:t>
            </w:r>
          </w:p>
        </w:tc>
        <w:tc>
          <w:tcPr>
            <w:tcW w:w="10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不低于5%，1次/年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对工业产品生产许可资格检查</w:t>
            </w:r>
          </w:p>
        </w:tc>
        <w:tc>
          <w:tcPr>
            <w:tcW w:w="304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城东区市场监管局2022年对工业产品生产许可证产品生产企业抽查</w:t>
            </w:r>
          </w:p>
        </w:tc>
        <w:tc>
          <w:tcPr>
            <w:tcW w:w="181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工业产品生产许可获证企业</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不低于5%，1次/年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对工业产品生产许可证获证企业条件检查</w:t>
            </w:r>
          </w:p>
        </w:tc>
        <w:tc>
          <w:tcPr>
            <w:tcW w:w="304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81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不低于5%，1次/年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6月至11月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城东区金融办</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对小额贷款公司的监督检查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城东区金融办2022年对小额贷款公司合规性经营抽查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辖区内设立的小额贷款公司</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区金融办</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对融资担保公司的监督检查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城东区金融办2022年对全市融资担保公司合规性经营抽查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辖区内设立的融资担保公司</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对典当行的监督检查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城东区金融办2022年对全市典当行年审的抽查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辖区内设立的典当行</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30%，1次/年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3"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对融资租赁公司的监督检查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城东区金融办2022年对全市融资租赁公司合规性经营抽查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辖区内设立的融资租赁公司</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7"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对商业保理公司的监督检查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西宁市金融办2022年全市商业保理公司合规性经营抽查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辖区内设立的商业保理公司</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bl>
    <w:p/>
    <w:tbl>
      <w:tblPr>
        <w:tblStyle w:val="7"/>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3"/>
        <w:gridCol w:w="529"/>
        <w:gridCol w:w="2871"/>
        <w:gridCol w:w="3042"/>
        <w:gridCol w:w="1814"/>
        <w:gridCol w:w="1095"/>
        <w:gridCol w:w="780"/>
        <w:gridCol w:w="929"/>
        <w:gridCol w:w="10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11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8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城东区统计局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（7项）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对统计调查对象执行统计法律法规情况的监督检查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2022年城东区统计局固定资产投资项目“双随机、一公开”抽查任务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联网直报单位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128</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对统计调查对象执行统计法律法规情况的监督检查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2022年城东区统计局服务业“双随机、一公开”抽查任务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联网直报单位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129</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对统计调查对象执行统计法律法规情况的监督检查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2022年城东区统计局工业“双随机、一公开”抽查任务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联网直报单位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130</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对统计调查对象执行统计法律法规情况的监督检查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2022年城东区统计局建筑业“双随机、一公开”抽查任务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联网直报单位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131</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对统计调查对象执行统计法律法规情况的监督检查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2022年城东区统计局住宿和餐饮业“双随机、一公开”抽查任务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联网直报单位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132</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对统计调查对象执行统计法律法规情况的监督检查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2022年城东区统计局批发和零售业“双随机、一公开”抽查任务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联网直报单位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113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133</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对统计调查对象执行统计法律法规情况的监督检查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2022年城东区统计局房地产业“双随机、一公开”抽查任务</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联网直报单位</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重点事项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城东区城乡建设局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134</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对建筑节能相关标准执行、建筑节能与绿色建筑（包含散装水泥）的监督检查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城东区城乡建设局2022年对建筑节能相关标准执行、建筑节能与绿色建筑的抽查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全区在建房屋建筑</w:t>
            </w:r>
          </w:p>
        </w:tc>
        <w:tc>
          <w:tcPr>
            <w:tcW w:w="10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7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4%，1次/年</w:t>
            </w:r>
          </w:p>
        </w:tc>
        <w:tc>
          <w:tcPr>
            <w:tcW w:w="1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135</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对房屋建筑与市政工程质量及安全的监督检查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城东区城乡建设局2022年对房屋建筑与市政工程质量及安全的监督检查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全区在建房屋建筑与市政基础设施</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4%，1次/年</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计划编</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制部门</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序号</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抽查事项</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计划名称</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检查对象及范围</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事项</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类别</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类型</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抽查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比例</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及频次</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时间</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b w:val="0"/>
                <w:bCs/>
                <w:i w:val="0"/>
                <w:color w:val="auto"/>
                <w:kern w:val="0"/>
                <w:sz w:val="24"/>
                <w:szCs w:val="24"/>
                <w:highlight w:val="none"/>
                <w:u w:val="none"/>
                <w:shd w:val="clear" w:color="auto" w:fill="auto"/>
                <w:lang w:val="en-US" w:eastAsia="zh-CN" w:bidi="ar-SA"/>
              </w:rPr>
            </w:pPr>
            <w:r>
              <w:rPr>
                <w:rFonts w:hint="eastAsia" w:ascii="黑体" w:hAnsi="黑体" w:eastAsia="黑体" w:cs="黑体"/>
                <w:b w:val="0"/>
                <w:bCs/>
                <w:i w:val="0"/>
                <w:color w:val="auto"/>
                <w:kern w:val="0"/>
                <w:sz w:val="24"/>
                <w:szCs w:val="24"/>
                <w:highlight w:val="none"/>
                <w:u w:val="none"/>
                <w:shd w:val="clear" w:color="auto" w:fill="auto"/>
                <w:lang w:val="en-US" w:eastAsia="zh-CN" w:bidi="ar-SA"/>
              </w:rPr>
              <w:t>检查</w:t>
            </w:r>
            <w:r>
              <w:rPr>
                <w:rFonts w:hint="eastAsia" w:ascii="黑体" w:hAnsi="黑体" w:eastAsia="黑体" w:cs="黑体"/>
                <w:b w:val="0"/>
                <w:bCs/>
                <w:i w:val="0"/>
                <w:color w:val="auto"/>
                <w:kern w:val="0"/>
                <w:sz w:val="24"/>
                <w:szCs w:val="24"/>
                <w:highlight w:val="none"/>
                <w:u w:val="none"/>
                <w:shd w:val="clear" w:color="auto" w:fill="auto"/>
                <w:lang w:val="en-US" w:eastAsia="zh-CN" w:bidi="ar-SA"/>
              </w:rPr>
              <w:br w:type="textWrapping"/>
            </w:r>
            <w:r>
              <w:rPr>
                <w:rFonts w:hint="eastAsia" w:ascii="黑体" w:hAnsi="黑体" w:eastAsia="黑体" w:cs="黑体"/>
                <w:b w:val="0"/>
                <w:bCs/>
                <w:i w:val="0"/>
                <w:color w:val="auto"/>
                <w:kern w:val="0"/>
                <w:sz w:val="24"/>
                <w:szCs w:val="24"/>
                <w:highlight w:val="none"/>
                <w:u w:val="none"/>
                <w:shd w:val="clear" w:color="auto" w:fill="auto"/>
                <w:lang w:val="en-US" w:eastAsia="zh-CN" w:bidi="ar-SA"/>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restart"/>
            <w:noWrap w:val="0"/>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城东区城乡建设局</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（4项）</w:t>
            </w: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136</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对建筑市场（包括建设工程的施工、监理企业等情况）的监督检查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西宁市城乡建设局2022年对建筑市场的抽查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全市在建房屋建筑与市政基础设施</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4%，1次/年</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5月至11月</w:t>
            </w:r>
          </w:p>
        </w:tc>
        <w:tc>
          <w:tcPr>
            <w:tcW w:w="8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区城乡建设局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1133"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c>
          <w:tcPr>
            <w:tcW w:w="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137</w:t>
            </w:r>
          </w:p>
        </w:tc>
        <w:tc>
          <w:tcPr>
            <w:tcW w:w="28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对城镇燃气供热情况的监督检查</w:t>
            </w:r>
          </w:p>
        </w:tc>
        <w:tc>
          <w:tcPr>
            <w:tcW w:w="30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西宁市城乡建设局2022年对城镇燃气区域集中供热情况的抽查</w:t>
            </w:r>
          </w:p>
        </w:tc>
        <w:tc>
          <w:tcPr>
            <w:tcW w:w="18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全市城镇燃气、热电联产集中供热经营企业</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一般事项</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不定向</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5%，1次/年</w:t>
            </w:r>
          </w:p>
        </w:tc>
        <w:tc>
          <w:tcPr>
            <w:tcW w:w="0" w:type="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4月至11月</w:t>
            </w:r>
          </w:p>
        </w:tc>
        <w:tc>
          <w:tcPr>
            <w:tcW w:w="85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p>
        </w:tc>
      </w:tr>
    </w:tbl>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说明：1.各成员单位已按照年初制定的抽查计划时间节点完成抽查任务的，不再重复发起抽查任务，未完成的，严格按照调</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944" w:firstLineChars="40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整后的抽查工作计划完成抽查任务，确保各项抽查任务在11月底前全部完成。</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708" w:firstLineChars="30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2.检查对象和执法检查人员必须通过西宁市市场主体联动监管平台随机抽取匹配，未使用该平台和未按照时间节点完</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944" w:firstLineChars="40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成的，视为未完成抽查任务，在年底考核时扣除相应分值。</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708" w:firstLineChars="30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pPr>
      <w:r>
        <w:rPr>
          <w:rFonts w:hint="eastAsia" w:ascii="仿宋" w:hAnsi="仿宋" w:eastAsia="仿宋" w:cs="仿宋"/>
          <w:i w:val="0"/>
          <w:color w:val="auto"/>
          <w:kern w:val="0"/>
          <w:sz w:val="24"/>
          <w:szCs w:val="24"/>
          <w:highlight w:val="none"/>
          <w:u w:val="none"/>
          <w:shd w:val="clear" w:color="auto" w:fill="auto"/>
          <w:lang w:val="en-US" w:eastAsia="zh-CN" w:bidi="ar-SA"/>
        </w:rPr>
        <w:t>3.上级部门分发的抽查任务已覆盖本单位抽查事项，并且满足本辖区本单位抽查比例和频次的，不再另行抽查，未满</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944" w:firstLineChars="400"/>
        <w:jc w:val="left"/>
        <w:textAlignment w:val="center"/>
        <w:outlineLvl w:val="9"/>
        <w:rPr>
          <w:rFonts w:hint="eastAsia" w:ascii="仿宋" w:hAnsi="仿宋" w:eastAsia="仿宋" w:cs="仿宋"/>
          <w:i w:val="0"/>
          <w:color w:val="auto"/>
          <w:kern w:val="0"/>
          <w:sz w:val="24"/>
          <w:szCs w:val="24"/>
          <w:highlight w:val="none"/>
          <w:u w:val="none"/>
          <w:shd w:val="clear" w:color="auto" w:fill="auto"/>
          <w:lang w:val="en-US" w:eastAsia="zh-CN" w:bidi="ar-SA"/>
        </w:rPr>
        <w:sectPr>
          <w:headerReference r:id="rId3" w:type="default"/>
          <w:footerReference r:id="rId5" w:type="default"/>
          <w:headerReference r:id="rId4" w:type="even"/>
          <w:footerReference r:id="rId6" w:type="even"/>
          <w:pgSz w:w="16838" w:h="11906" w:orient="landscape"/>
          <w:pgMar w:top="1587" w:right="2098" w:bottom="1474" w:left="1984" w:header="850" w:footer="1587" w:gutter="0"/>
          <w:pgNumType w:fmt="numberInDash"/>
          <w:cols w:space="720" w:num="1"/>
          <w:rtlGutter w:val="0"/>
          <w:docGrid w:type="linesAndChars" w:linePitch="579" w:charSpace="-882"/>
        </w:sectPr>
      </w:pPr>
      <w:r>
        <w:rPr>
          <w:rFonts w:hint="eastAsia" w:ascii="仿宋" w:hAnsi="仿宋" w:eastAsia="仿宋" w:cs="仿宋"/>
          <w:i w:val="0"/>
          <w:color w:val="auto"/>
          <w:kern w:val="0"/>
          <w:sz w:val="24"/>
          <w:szCs w:val="24"/>
          <w:highlight w:val="none"/>
          <w:u w:val="none"/>
          <w:shd w:val="clear" w:color="auto" w:fill="auto"/>
          <w:lang w:val="en-US" w:eastAsia="zh-CN" w:bidi="ar-SA"/>
        </w:rPr>
        <w:t>足的，由本单位结合实际自行发起抽查检查。</w:t>
      </w:r>
    </w:p>
    <w:p/>
    <w:sectPr>
      <w:headerReference r:id="rId7" w:type="default"/>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zc1N2YxN2FmM2FhYmFkNzJkOGMwMDc3ZTVjM2UifQ=="/>
  </w:docVars>
  <w:rsids>
    <w:rsidRoot w:val="0FA25EBD"/>
    <w:rsid w:val="05A31A23"/>
    <w:rsid w:val="0FA25EBD"/>
    <w:rsid w:val="15551783"/>
    <w:rsid w:val="160F6DF8"/>
    <w:rsid w:val="49707EED"/>
    <w:rsid w:val="63806E48"/>
    <w:rsid w:val="6EF80E40"/>
    <w:rsid w:val="78F50C83"/>
    <w:rsid w:val="79197E29"/>
    <w:rsid w:val="7BA1198E"/>
    <w:rsid w:val="7CF4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rPr>
      <w:rFonts w:ascii="Calibri" w:hAnsi="Calibri"/>
    </w:rPr>
  </w:style>
  <w:style w:type="paragraph" w:styleId="3">
    <w:name w:val="Body Text"/>
    <w:basedOn w:val="1"/>
    <w:next w:val="4"/>
    <w:unhideWhenUsed/>
    <w:qFormat/>
    <w:uiPriority w:val="99"/>
    <w:pPr>
      <w:spacing w:after="120" w:afterLines="0"/>
    </w:pPr>
  </w:style>
  <w:style w:type="paragraph" w:customStyle="1" w:styleId="4">
    <w:name w:val="Char2 Char Char Char Char Char Char"/>
    <w:next w:val="5"/>
    <w:qFormat/>
    <w:uiPriority w:val="0"/>
    <w:pPr>
      <w:widowControl w:val="0"/>
      <w:suppressAutoHyphens/>
      <w:autoSpaceDE w:val="0"/>
      <w:autoSpaceDN w:val="0"/>
      <w:adjustRightInd w:val="0"/>
      <w:snapToGrid w:val="0"/>
      <w:spacing w:line="360" w:lineRule="auto"/>
      <w:ind w:firstLine="200" w:firstLineChars="200"/>
      <w:jc w:val="both"/>
    </w:pPr>
    <w:rPr>
      <w:rFonts w:ascii="Calibri" w:hAnsi="Calibri" w:eastAsia="宋体" w:cs="Times New Roman"/>
      <w:color w:val="000000"/>
      <w:kern w:val="2"/>
      <w:sz w:val="24"/>
      <w:szCs w:val="24"/>
      <w:lang w:val="en-US" w:eastAsia="zh-CN" w:bidi="ar-SA"/>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9698</Words>
  <Characters>10378</Characters>
  <Lines>0</Lines>
  <Paragraphs>0</Paragraphs>
  <TotalTime>5</TotalTime>
  <ScaleCrop>false</ScaleCrop>
  <LinksUpToDate>false</LinksUpToDate>
  <CharactersWithSpaces>10384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2022-10-03T01:57:00Z</dcterms:created>
  <dc:creator>leslie</dc:creator>
  <cp:lastModifiedBy>leslie</cp:lastModifiedBy>
  <cp:lastPrinted>2022-10-04T11:14:00Z</cp:lastPrinted>
  <dcterms:modified xsi:type="dcterms:W3CDTF">2022-10-05T01:15:08Z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E280632DF30B41F897F36821EDAC2F8C</vt:lpwstr>
  </property>
</Properties>
</file>